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2D60" w:rsidRPr="00513BFF" w:rsidRDefault="00F12D60" w:rsidP="00D8453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12D60" w:rsidRPr="00513BFF" w:rsidRDefault="00F12D60" w:rsidP="00D8453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94770" w:rsidRPr="00513BFF" w:rsidRDefault="006C6AC7" w:rsidP="00D8453A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513BFF">
        <w:rPr>
          <w:rFonts w:ascii="Times New Roman" w:hAnsi="Times New Roman" w:cs="Times New Roman"/>
          <w:sz w:val="24"/>
          <w:szCs w:val="24"/>
        </w:rPr>
        <w:t>Campaign Financing</w:t>
      </w:r>
    </w:p>
    <w:bookmarkEnd w:id="0"/>
    <w:p w:rsidR="003F1AA1" w:rsidRPr="00513BFF" w:rsidRDefault="006C6AC7" w:rsidP="00D8453A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13BFF">
        <w:rPr>
          <w:rFonts w:ascii="Times New Roman" w:hAnsi="Times New Roman" w:cs="Times New Roman"/>
          <w:sz w:val="24"/>
          <w:szCs w:val="24"/>
        </w:rPr>
        <w:t>Name</w:t>
      </w:r>
    </w:p>
    <w:p w:rsidR="003F1AA1" w:rsidRPr="00513BFF" w:rsidRDefault="006C6AC7" w:rsidP="00D8453A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13BFF">
        <w:rPr>
          <w:rFonts w:ascii="Times New Roman" w:hAnsi="Times New Roman" w:cs="Times New Roman"/>
          <w:sz w:val="24"/>
          <w:szCs w:val="24"/>
        </w:rPr>
        <w:t>Institution</w:t>
      </w:r>
    </w:p>
    <w:p w:rsidR="00513BFF" w:rsidRPr="00513BFF" w:rsidRDefault="00513BFF" w:rsidP="00D8453A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13BFF" w:rsidRPr="00513BFF" w:rsidRDefault="00513BFF" w:rsidP="00D8453A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13BFF" w:rsidRPr="00513BFF" w:rsidRDefault="00513BFF" w:rsidP="00D8453A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13BFF" w:rsidRPr="00513BFF" w:rsidRDefault="00513BFF" w:rsidP="00D8453A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13BFF" w:rsidRPr="00513BFF" w:rsidRDefault="00513BFF" w:rsidP="00D8453A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13BFF" w:rsidRPr="00513BFF" w:rsidRDefault="00513BFF" w:rsidP="00D8453A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13BFF" w:rsidRPr="00513BFF" w:rsidRDefault="00513BFF" w:rsidP="00D8453A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13BFF" w:rsidRPr="00513BFF" w:rsidRDefault="00513BFF" w:rsidP="00D8453A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13BFF" w:rsidRPr="00513BFF" w:rsidRDefault="00513BFF" w:rsidP="00D8453A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13BFF" w:rsidRPr="00513BFF" w:rsidRDefault="00513BFF" w:rsidP="00D8453A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13BFF" w:rsidRPr="00513BFF" w:rsidRDefault="00513BFF" w:rsidP="00D8453A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13BFF" w:rsidRPr="00513BFF" w:rsidRDefault="00513BFF" w:rsidP="00D8453A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13BFF" w:rsidRPr="00513BFF" w:rsidRDefault="00513BFF" w:rsidP="00D8453A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13BFF" w:rsidRDefault="00513BFF" w:rsidP="00D8453A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453A" w:rsidRDefault="00D8453A" w:rsidP="00D8453A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453A" w:rsidRDefault="00D8453A" w:rsidP="00D8453A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453A" w:rsidRDefault="00D8453A" w:rsidP="00D8453A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453A" w:rsidRPr="00513BFF" w:rsidRDefault="00D8453A" w:rsidP="00D8453A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55B6F" w:rsidRPr="00513BFF" w:rsidRDefault="006C6AC7" w:rsidP="00D8453A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13BFF">
        <w:rPr>
          <w:rFonts w:ascii="Times New Roman" w:hAnsi="Times New Roman" w:cs="Times New Roman"/>
          <w:sz w:val="24"/>
          <w:szCs w:val="24"/>
        </w:rPr>
        <w:lastRenderedPageBreak/>
        <w:t>Campaign Financing</w:t>
      </w:r>
    </w:p>
    <w:p w:rsidR="000A5696" w:rsidRPr="00513BFF" w:rsidRDefault="006C6AC7" w:rsidP="00D8453A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>The regulation of campaign finance is a topic of perpetual public concern in the USA given that</w:t>
      </w:r>
      <w:r w:rsidRPr="00513BFF">
        <w:rPr>
          <w:rFonts w:ascii="Times New Roman" w:hAnsi="Times New Roman" w:cs="Times New Roman"/>
          <w:sz w:val="24"/>
          <w:szCs w:val="24"/>
        </w:rPr>
        <w:t xml:space="preserve"> </w:t>
      </w:r>
      <w:r w:rsidR="00FF1A6B" w:rsidRPr="00513BFF">
        <w:rPr>
          <w:rFonts w:ascii="Times New Roman" w:hAnsi="Times New Roman" w:cs="Times New Roman"/>
          <w:sz w:val="24"/>
          <w:szCs w:val="24"/>
        </w:rPr>
        <w:t>in a</w:t>
      </w:r>
      <w:r w:rsidRPr="00513BFF">
        <w:rPr>
          <w:rFonts w:ascii="Times New Roman" w:hAnsi="Times New Roman" w:cs="Times New Roman"/>
          <w:sz w:val="24"/>
          <w:szCs w:val="24"/>
        </w:rPr>
        <w:t xml:space="preserve"> political domain, money matters because candidates and parties need ever-increasing financial resources for administration and election campaigns.</w:t>
      </w:r>
      <w:r w:rsidR="006372C3" w:rsidRPr="00513BFF">
        <w:rPr>
          <w:rFonts w:ascii="Times New Roman" w:hAnsi="Times New Roman" w:cs="Times New Roman"/>
          <w:sz w:val="24"/>
          <w:szCs w:val="24"/>
        </w:rPr>
        <w:t xml:space="preserve"> This has also ushered a </w:t>
      </w:r>
      <w:r w:rsidR="00B000B3" w:rsidRPr="00513BFF">
        <w:rPr>
          <w:rFonts w:ascii="Times New Roman" w:hAnsi="Times New Roman" w:cs="Times New Roman"/>
          <w:sz w:val="24"/>
          <w:szCs w:val="24"/>
        </w:rPr>
        <w:t>bone</w:t>
      </w:r>
      <w:r w:rsidR="006372C3" w:rsidRPr="00513BFF">
        <w:rPr>
          <w:rFonts w:ascii="Times New Roman" w:hAnsi="Times New Roman" w:cs="Times New Roman"/>
          <w:sz w:val="24"/>
          <w:szCs w:val="24"/>
        </w:rPr>
        <w:t xml:space="preserve"> of </w:t>
      </w:r>
      <w:r w:rsidR="006372C3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contention </w:t>
      </w:r>
      <w:r w:rsidR="002040C9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>on whether an individual can form a company or corporation and then donate as much money as they see fit to a particula</w:t>
      </w:r>
      <w:r w:rsidR="00C07FB1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 candidate or political party in the public and judicial spectrum. </w:t>
      </w:r>
      <w:r w:rsidR="00623745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>In most cases, it is perceived that corporate contribution into poli</w:t>
      </w:r>
      <w:r w:rsidR="00891D2C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tics warrants careful scrutiny particularly due to intensified </w:t>
      </w:r>
      <w:r w:rsidR="00623745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>corruption of democratic politics</w:t>
      </w:r>
      <w:r w:rsidR="00891D2C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623745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C07FB1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However, </w:t>
      </w:r>
      <w:r w:rsidR="007C1EDC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>this contention</w:t>
      </w:r>
      <w:r w:rsidR="00C07FB1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can be best assessed in terms of </w:t>
      </w:r>
      <w:r w:rsidR="001D6A4B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the10th amendment to the U.S. Constitution. This amendment provides the foundation for states </w:t>
      </w:r>
      <w:r w:rsidR="00B81330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>monitoring and governing</w:t>
      </w:r>
      <w:r w:rsidR="001D6A4B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administration of elections, </w:t>
      </w:r>
      <w:r w:rsidR="00B81330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>as well as</w:t>
      </w:r>
      <w:r w:rsidR="001D6A4B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81330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1D6A4B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>regulation of campaign finance.</w:t>
      </w:r>
      <w:r w:rsidR="00B81330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Though the</w:t>
      </w:r>
      <w:r w:rsidR="00D21F0C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states are tasked with footing the bill and instituting</w:t>
      </w:r>
      <w:r w:rsidR="00B81330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provisions for elections and any campaign finance regulations, the federal government</w:t>
      </w:r>
      <w:r w:rsidR="00180DBA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mandated with administering judicial review over campaign finances using the </w:t>
      </w:r>
      <w:r w:rsidR="00B81330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>U.S. Supreme Court rulings.</w:t>
      </w:r>
    </w:p>
    <w:p w:rsidR="009560FA" w:rsidRPr="00513BFF" w:rsidRDefault="006C6AC7" w:rsidP="00D8453A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13BFF">
        <w:rPr>
          <w:rFonts w:ascii="Times New Roman" w:hAnsi="Times New Roman" w:cs="Times New Roman"/>
          <w:sz w:val="24"/>
          <w:szCs w:val="24"/>
        </w:rPr>
        <w:t xml:space="preserve">The </w:t>
      </w:r>
      <w:r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current Supreme Court and other case law evaluating the constitutionality of limits on </w:t>
      </w:r>
      <w:r w:rsidR="00183EC5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corporate contributions to a candidate or a political party uphold reasonable limits on contributions. </w:t>
      </w:r>
      <w:r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For instance, according to </w:t>
      </w:r>
      <w:r w:rsidRPr="00513BFF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Buckley v. Valeo, 424 U.S. 1 (1976), the case holds significance </w:t>
      </w:r>
      <w:r w:rsidR="007D64CC" w:rsidRPr="00513BFF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whereby it instigates </w:t>
      </w:r>
      <w:r w:rsidR="00DC23CC" w:rsidRPr="00513BFF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that only </w:t>
      </w:r>
      <w:r w:rsidR="005505A4" w:rsidRPr="00513BFF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c</w:t>
      </w:r>
      <w:r w:rsidRPr="00513BFF">
        <w:rPr>
          <w:rFonts w:ascii="Times New Roman" w:hAnsi="Times New Roman" w:cs="Times New Roman"/>
          <w:sz w:val="24"/>
          <w:szCs w:val="24"/>
        </w:rPr>
        <w:t>ontrib</w:t>
      </w:r>
      <w:r w:rsidR="00DC23CC" w:rsidRPr="00513BFF">
        <w:rPr>
          <w:rFonts w:ascii="Times New Roman" w:hAnsi="Times New Roman" w:cs="Times New Roman"/>
          <w:sz w:val="24"/>
          <w:szCs w:val="24"/>
        </w:rPr>
        <w:t>ution limits are constitutional and not expenditure limits.</w:t>
      </w:r>
      <w:r w:rsidR="006534F3" w:rsidRPr="00513BFF">
        <w:rPr>
          <w:rFonts w:ascii="Times New Roman" w:hAnsi="Times New Roman" w:cs="Times New Roman"/>
          <w:sz w:val="24"/>
          <w:szCs w:val="24"/>
        </w:rPr>
        <w:t xml:space="preserve"> (</w:t>
      </w:r>
      <w:r w:rsidR="006534F3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Stephanopoulos, </w:t>
      </w:r>
      <w:proofErr w:type="gramStart"/>
      <w:r w:rsidR="006534F3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>N(</w:t>
      </w:r>
      <w:proofErr w:type="gramEnd"/>
      <w:r w:rsidR="006534F3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>2015).</w:t>
      </w:r>
      <w:r w:rsidR="00DC23CC" w:rsidRPr="00513BFF">
        <w:rPr>
          <w:rFonts w:ascii="Times New Roman" w:hAnsi="Times New Roman" w:cs="Times New Roman"/>
          <w:sz w:val="24"/>
          <w:szCs w:val="24"/>
        </w:rPr>
        <w:t xml:space="preserve"> </w:t>
      </w:r>
      <w:r w:rsidR="004F2A91" w:rsidRPr="00513BFF">
        <w:rPr>
          <w:rFonts w:ascii="Times New Roman" w:hAnsi="Times New Roman" w:cs="Times New Roman"/>
          <w:sz w:val="24"/>
          <w:szCs w:val="24"/>
        </w:rPr>
        <w:t xml:space="preserve">The Supreme Court </w:t>
      </w:r>
      <w:r w:rsidR="004D34A9" w:rsidRPr="00513BFF">
        <w:rPr>
          <w:rFonts w:ascii="Times New Roman" w:hAnsi="Times New Roman" w:cs="Times New Roman"/>
          <w:sz w:val="24"/>
          <w:szCs w:val="24"/>
        </w:rPr>
        <w:t xml:space="preserve">upheld this contribution limits because </w:t>
      </w:r>
      <w:r w:rsidR="004F2A91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they act as a </w:t>
      </w:r>
      <w:r w:rsidR="004D34A9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>restrictive</w:t>
      </w:r>
      <w:r w:rsidR="004F2A91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quid pro quo corruption, where</w:t>
      </w:r>
      <w:r w:rsidR="004D34A9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corporations and companies</w:t>
      </w:r>
      <w:r w:rsidR="0053411E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that</w:t>
      </w:r>
      <w:r w:rsidR="004D34A9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contribute</w:t>
      </w:r>
      <w:r w:rsidR="0053411E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>d</w:t>
      </w:r>
      <w:r w:rsidR="004D34A9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3411E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>to campaigns are guaranteed</w:t>
      </w:r>
      <w:r w:rsidR="004F2A91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3411E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>partisan</w:t>
      </w:r>
      <w:r w:rsidR="00B625E7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/favoring </w:t>
      </w:r>
      <w:r w:rsidR="004F2A91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treatment because of their financial </w:t>
      </w:r>
      <w:r w:rsidR="00B625E7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>support</w:t>
      </w:r>
      <w:r w:rsidR="0078082E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(Stein, 2015)</w:t>
      </w:r>
      <w:r w:rsidR="004F2A91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>. </w:t>
      </w:r>
      <w:r w:rsidR="007C1EDC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this case, </w:t>
      </w:r>
      <w:r w:rsidR="007C1EDC" w:rsidRPr="00513BFF">
        <w:rPr>
          <w:rStyle w:val="Emphasis"/>
          <w:rFonts w:ascii="Times New Roman" w:hAnsi="Times New Roman" w:cs="Times New Roman"/>
          <w:i w:val="0"/>
          <w:sz w:val="24"/>
          <w:szCs w:val="24"/>
          <w:bdr w:val="none" w:sz="0" w:space="0" w:color="auto" w:frame="1"/>
          <w:shd w:val="clear" w:color="auto" w:fill="FFFFFF"/>
        </w:rPr>
        <w:t>Buckley</w:t>
      </w:r>
      <w:r w:rsidR="007C1EDC" w:rsidRPr="00513BFF">
        <w:rPr>
          <w:rStyle w:val="Emphasis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 </w:t>
      </w:r>
      <w:r w:rsidR="007C1EDC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>recognized the standard that campaign finance is speech, because “</w:t>
      </w:r>
      <w:r w:rsidR="001E7303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>practically</w:t>
      </w:r>
      <w:r w:rsidR="007C1EDC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ev</w:t>
      </w:r>
      <w:r w:rsidR="00555352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>ery strategy</w:t>
      </w:r>
      <w:r w:rsidR="00A16BB6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communicating ideologies</w:t>
      </w:r>
      <w:r w:rsidR="00CF52D7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today’s </w:t>
      </w:r>
      <w:r w:rsidR="00CF52D7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public</w:t>
      </w:r>
      <w:r w:rsidR="007C1EDC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society </w:t>
      </w:r>
      <w:proofErr w:type="gramStart"/>
      <w:r w:rsidR="007C1EDC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>require</w:t>
      </w:r>
      <w:proofErr w:type="gramEnd"/>
      <w:r w:rsidR="007C1EDC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expenditure of money.” </w:t>
      </w:r>
      <w:r w:rsidR="004907D6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It is based on this principle that </w:t>
      </w:r>
      <w:r w:rsidR="007C1EDC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many states </w:t>
      </w:r>
      <w:r w:rsidR="001E7303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>executed</w:t>
      </w:r>
      <w:r w:rsidR="007C1EDC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contr</w:t>
      </w:r>
      <w:r w:rsidR="001E7303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ibution limits in conjunction </w:t>
      </w:r>
      <w:r w:rsidR="007C1EDC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>with the federal limits</w:t>
      </w:r>
      <w:r w:rsidR="004907D6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6D03A4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However, this principle was averted in </w:t>
      </w:r>
      <w:r w:rsidR="006D03A4" w:rsidRPr="00513BFF">
        <w:rPr>
          <w:rStyle w:val="Strong"/>
          <w:rFonts w:ascii="Times New Roman" w:hAnsi="Times New Roman" w:cs="Times New Roman"/>
          <w:b w:val="0"/>
          <w:sz w:val="24"/>
          <w:szCs w:val="24"/>
          <w:bdr w:val="none" w:sz="0" w:space="0" w:color="auto" w:frame="1"/>
        </w:rPr>
        <w:t>1978</w:t>
      </w:r>
      <w:r w:rsidR="006D03A4" w:rsidRPr="00513BFF">
        <w:rPr>
          <w:rFonts w:ascii="Times New Roman" w:hAnsi="Times New Roman" w:cs="Times New Roman"/>
          <w:sz w:val="24"/>
          <w:szCs w:val="24"/>
        </w:rPr>
        <w:t xml:space="preserve"> in the case of </w:t>
      </w:r>
      <w:r w:rsidR="006D03A4" w:rsidRPr="00513BFF">
        <w:rPr>
          <w:rStyle w:val="Strong"/>
          <w:rFonts w:ascii="Times New Roman" w:hAnsi="Times New Roman" w:cs="Times New Roman"/>
          <w:b w:val="0"/>
          <w:sz w:val="24"/>
          <w:szCs w:val="24"/>
          <w:bdr w:val="none" w:sz="0" w:space="0" w:color="auto" w:frame="1"/>
        </w:rPr>
        <w:t>First National Bank of Boston v. Bellotti, 435 U.S. 765</w:t>
      </w:r>
      <w:r w:rsidR="0054588C" w:rsidRPr="00513BFF">
        <w:rPr>
          <w:rStyle w:val="Strong"/>
          <w:rFonts w:ascii="Times New Roman" w:hAnsi="Times New Roman" w:cs="Times New Roman"/>
          <w:b w:val="0"/>
          <w:sz w:val="24"/>
          <w:szCs w:val="24"/>
          <w:bdr w:val="none" w:sz="0" w:space="0" w:color="auto" w:frame="1"/>
        </w:rPr>
        <w:t xml:space="preserve">, when the court decided that </w:t>
      </w:r>
      <w:r w:rsidR="0054588C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>corporations can</w:t>
      </w:r>
      <w:r w:rsidR="006D03A4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make contributions to ballot initiatives, </w:t>
      </w:r>
      <w:r w:rsidR="0054588C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>since</w:t>
      </w:r>
      <w:r w:rsidR="006D03A4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“the </w:t>
      </w:r>
      <w:r w:rsidR="0054588C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>intrinsic</w:t>
      </w:r>
      <w:r w:rsidR="006D03A4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4588C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>value</w:t>
      </w:r>
      <w:r w:rsidR="006D03A4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the speech in</w:t>
      </w:r>
      <w:r w:rsidR="00B206F2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regards to</w:t>
      </w:r>
      <w:r w:rsidR="006D03A4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its </w:t>
      </w:r>
      <w:r w:rsidR="00B206F2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>capability</w:t>
      </w:r>
      <w:r w:rsidR="006D03A4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 </w:t>
      </w:r>
      <w:r w:rsidR="00B206F2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>enlightening the public is not determined by</w:t>
      </w:r>
      <w:r w:rsidR="006D03A4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identity of its source, whether</w:t>
      </w:r>
      <w:r w:rsidR="00B206F2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union, association or corporation</w:t>
      </w:r>
      <w:sdt>
        <w:sdtPr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id w:val="-133949373"/>
          <w:citation/>
        </w:sdtPr>
        <w:sdtEndPr/>
        <w:sdtContent>
          <w:r w:rsidR="00EF5F26" w:rsidRPr="00513BFF">
            <w:rPr>
              <w:rFonts w:ascii="Times New Roman" w:hAnsi="Times New Roman" w:cs="Times New Roman"/>
              <w:sz w:val="24"/>
              <w:szCs w:val="24"/>
              <w:shd w:val="clear" w:color="auto" w:fill="FFFFFF"/>
            </w:rPr>
            <w:fldChar w:fldCharType="begin"/>
          </w:r>
          <w:r w:rsidR="00EF5F26" w:rsidRPr="00513BFF">
            <w:rPr>
              <w:rFonts w:ascii="Times New Roman" w:hAnsi="Times New Roman" w:cs="Times New Roman"/>
              <w:sz w:val="24"/>
              <w:szCs w:val="24"/>
              <w:shd w:val="clear" w:color="auto" w:fill="FFFFFF"/>
            </w:rPr>
            <w:instrText xml:space="preserve"> CITATION NCS19 \l 1033 </w:instrText>
          </w:r>
          <w:r w:rsidR="00EF5F26" w:rsidRPr="00513BFF">
            <w:rPr>
              <w:rFonts w:ascii="Times New Roman" w:hAnsi="Times New Roman" w:cs="Times New Roman"/>
              <w:sz w:val="24"/>
              <w:szCs w:val="24"/>
              <w:shd w:val="clear" w:color="auto" w:fill="FFFFFF"/>
            </w:rPr>
            <w:fldChar w:fldCharType="separate"/>
          </w:r>
          <w:r w:rsidR="00EF5F26" w:rsidRPr="00513BFF">
            <w:rPr>
              <w:rFonts w:ascii="Times New Roman" w:hAnsi="Times New Roman" w:cs="Times New Roman"/>
              <w:noProof/>
              <w:sz w:val="24"/>
              <w:szCs w:val="24"/>
              <w:shd w:val="clear" w:color="auto" w:fill="FFFFFF"/>
            </w:rPr>
            <w:t xml:space="preserve"> (NCSL, 2019)</w:t>
          </w:r>
          <w:r w:rsidR="00EF5F26" w:rsidRPr="00513BFF">
            <w:rPr>
              <w:rFonts w:ascii="Times New Roman" w:hAnsi="Times New Roman" w:cs="Times New Roman"/>
              <w:sz w:val="24"/>
              <w:szCs w:val="24"/>
              <w:shd w:val="clear" w:color="auto" w:fill="FFFFFF"/>
            </w:rPr>
            <w:fldChar w:fldCharType="end"/>
          </w:r>
        </w:sdtContent>
      </w:sdt>
      <w:r w:rsidR="00B206F2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D9155A" w:rsidRPr="00513BFF" w:rsidRDefault="006C6AC7" w:rsidP="00D8453A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13BFF">
        <w:rPr>
          <w:rFonts w:ascii="Times New Roman" w:hAnsi="Times New Roman" w:cs="Times New Roman"/>
          <w:sz w:val="24"/>
          <w:szCs w:val="24"/>
        </w:rPr>
        <w:t xml:space="preserve">Additionally, the case of </w:t>
      </w:r>
      <w:r w:rsidRPr="00513BFF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bdr w:val="none" w:sz="0" w:space="0" w:color="auto" w:frame="1"/>
        </w:rPr>
        <w:t xml:space="preserve">Citizens United v. Federal Election Commission, 558 U.S. 310 (2010) reinforces the </w:t>
      </w:r>
      <w:r w:rsidRPr="00513BFF">
        <w:rPr>
          <w:rFonts w:ascii="Times New Roman" w:hAnsi="Times New Roman" w:cs="Times New Roman"/>
          <w:sz w:val="24"/>
          <w:szCs w:val="24"/>
        </w:rPr>
        <w:t xml:space="preserve">case of </w:t>
      </w:r>
      <w:r w:rsidRPr="00513BFF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bdr w:val="none" w:sz="0" w:space="0" w:color="auto" w:frame="1"/>
        </w:rPr>
        <w:t>First National Bank of Boston v. Bellotti, 435 U.S. 765 (1978)</w:t>
      </w:r>
      <w:r w:rsidR="00D0449D" w:rsidRPr="00513BFF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bdr w:val="none" w:sz="0" w:space="0" w:color="auto" w:frame="1"/>
        </w:rPr>
        <w:t xml:space="preserve"> </w:t>
      </w:r>
      <w:sdt>
        <w:sdtPr>
          <w:rPr>
            <w:rStyle w:val="Strong"/>
            <w:rFonts w:ascii="Times New Roman" w:hAnsi="Times New Roman" w:cs="Times New Roman"/>
            <w:b w:val="0"/>
            <w:bCs w:val="0"/>
            <w:sz w:val="24"/>
            <w:szCs w:val="24"/>
            <w:bdr w:val="none" w:sz="0" w:space="0" w:color="auto" w:frame="1"/>
          </w:rPr>
          <w:id w:val="-554851793"/>
          <w:citation/>
        </w:sdtPr>
        <w:sdtEndPr>
          <w:rPr>
            <w:rStyle w:val="Strong"/>
          </w:rPr>
        </w:sdtEndPr>
        <w:sdtContent>
          <w:r w:rsidR="00D0449D" w:rsidRPr="00513BFF">
            <w:rPr>
              <w:rStyle w:val="Strong"/>
              <w:rFonts w:ascii="Times New Roman" w:hAnsi="Times New Roman" w:cs="Times New Roman"/>
              <w:b w:val="0"/>
              <w:bCs w:val="0"/>
              <w:sz w:val="24"/>
              <w:szCs w:val="24"/>
              <w:bdr w:val="none" w:sz="0" w:space="0" w:color="auto" w:frame="1"/>
            </w:rPr>
            <w:fldChar w:fldCharType="begin"/>
          </w:r>
          <w:r w:rsidR="00D0449D" w:rsidRPr="00513BFF">
            <w:rPr>
              <w:rStyle w:val="Strong"/>
              <w:rFonts w:ascii="Times New Roman" w:hAnsi="Times New Roman" w:cs="Times New Roman"/>
              <w:b w:val="0"/>
              <w:bCs w:val="0"/>
              <w:sz w:val="24"/>
              <w:szCs w:val="24"/>
              <w:bdr w:val="none" w:sz="0" w:space="0" w:color="auto" w:frame="1"/>
            </w:rPr>
            <w:instrText xml:space="preserve"> CITATION NCS19 \l 1033 </w:instrText>
          </w:r>
          <w:r w:rsidR="00D0449D" w:rsidRPr="00513BFF">
            <w:rPr>
              <w:rStyle w:val="Strong"/>
              <w:rFonts w:ascii="Times New Roman" w:hAnsi="Times New Roman" w:cs="Times New Roman"/>
              <w:b w:val="0"/>
              <w:bCs w:val="0"/>
              <w:sz w:val="24"/>
              <w:szCs w:val="24"/>
              <w:bdr w:val="none" w:sz="0" w:space="0" w:color="auto" w:frame="1"/>
            </w:rPr>
            <w:fldChar w:fldCharType="separate"/>
          </w:r>
          <w:r w:rsidR="00D0449D" w:rsidRPr="00513BFF">
            <w:rPr>
              <w:rFonts w:ascii="Times New Roman" w:hAnsi="Times New Roman" w:cs="Times New Roman"/>
              <w:noProof/>
              <w:sz w:val="24"/>
              <w:szCs w:val="24"/>
              <w:bdr w:val="none" w:sz="0" w:space="0" w:color="auto" w:frame="1"/>
            </w:rPr>
            <w:t>(NCSL, 2019)</w:t>
          </w:r>
          <w:r w:rsidR="00D0449D" w:rsidRPr="00513BFF">
            <w:rPr>
              <w:rStyle w:val="Strong"/>
              <w:rFonts w:ascii="Times New Roman" w:hAnsi="Times New Roman" w:cs="Times New Roman"/>
              <w:b w:val="0"/>
              <w:bCs w:val="0"/>
              <w:sz w:val="24"/>
              <w:szCs w:val="24"/>
              <w:bdr w:val="none" w:sz="0" w:space="0" w:color="auto" w:frame="1"/>
            </w:rPr>
            <w:fldChar w:fldCharType="end"/>
          </w:r>
        </w:sdtContent>
      </w:sdt>
      <w:r w:rsidR="006D0956" w:rsidRPr="00513BFF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bdr w:val="none" w:sz="0" w:space="0" w:color="auto" w:frame="1"/>
        </w:rPr>
        <w:t xml:space="preserve">. In this case, </w:t>
      </w:r>
      <w:r w:rsidRPr="00513BFF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bdr w:val="none" w:sz="0" w:space="0" w:color="auto" w:frame="1"/>
        </w:rPr>
        <w:t xml:space="preserve">states </w:t>
      </w:r>
      <w:r w:rsidR="00D1070B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>are prohibited from placing limits on the number of funds</w:t>
      </w:r>
      <w:r w:rsidR="003E0AE3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corporations use</w:t>
      </w:r>
      <w:r w:rsidR="00D1070B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 electioneering communications, </w:t>
      </w:r>
      <w:r w:rsidR="003E0AE3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>on the condition that the corporations do</w:t>
      </w:r>
      <w:r w:rsidR="00D1070B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not directly align </w:t>
      </w:r>
      <w:proofErr w:type="gramStart"/>
      <w:r w:rsidR="00D1070B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>itself</w:t>
      </w:r>
      <w:proofErr w:type="gramEnd"/>
      <w:r w:rsidR="00D1070B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with a candidate.</w:t>
      </w:r>
      <w:r w:rsidR="004D5726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Supreme </w:t>
      </w:r>
      <w:r w:rsidR="00423EB0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>Court</w:t>
      </w:r>
      <w:r w:rsidR="004D5726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struck down provisions of the</w:t>
      </w:r>
      <w:r w:rsidR="0060144A" w:rsidRPr="00513BFF">
        <w:rPr>
          <w:rFonts w:ascii="Times New Roman" w:hAnsi="Times New Roman" w:cs="Times New Roman"/>
          <w:sz w:val="24"/>
          <w:szCs w:val="24"/>
        </w:rPr>
        <w:t xml:space="preserve"> Bipartisan Campaign Reform Act</w:t>
      </w:r>
      <w:hyperlink r:id="rId9" w:history="1"/>
      <w:r w:rsidR="004D5726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23EB0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="004D5726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>BCRA</w:t>
      </w:r>
      <w:r w:rsidR="00423EB0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4D5726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that </w:t>
      </w:r>
      <w:r w:rsidR="00423EB0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banned corporations </w:t>
      </w:r>
      <w:r w:rsidR="004D5726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>from making independent expenditu</w:t>
      </w:r>
      <w:r w:rsidR="00076A9E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res and election communications. </w:t>
      </w:r>
    </w:p>
    <w:p w:rsidR="00BA5494" w:rsidRPr="00513BFF" w:rsidRDefault="006C6AC7" w:rsidP="00D8453A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</w:pPr>
      <w:r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Typically, the above court cases </w:t>
      </w:r>
      <w:r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surface how the Court's tolerance of campaign finance laws polished and diminished in the intervening </w:t>
      </w:r>
      <w:r w:rsidR="00437480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>and propagating the changes necessary to enable</w:t>
      </w:r>
      <w:r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majority's understanding of the anticorruption rationale.</w:t>
      </w:r>
      <w:r w:rsidR="00E80984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By implication,</w:t>
      </w:r>
      <w:r w:rsidR="005D30B1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Supreme Court </w:t>
      </w:r>
      <w:r w:rsidR="00E80984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considers </w:t>
      </w:r>
      <w:r w:rsidR="009466C4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>the entire</w:t>
      </w:r>
      <w:r w:rsidR="00E80984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federa</w:t>
      </w:r>
      <w:r w:rsidR="00BF2D42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>l ban on corporate expenditures which were drafted even before</w:t>
      </w:r>
      <w:r w:rsidR="00800281" w:rsidRPr="00513BFF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the Federal Election Commission</w:t>
      </w:r>
      <w:r w:rsidR="00BF2D42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00281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="00BF2D42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>FECA</w:t>
      </w:r>
      <w:r w:rsidR="00800281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BF2D42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be un</w:t>
      </w:r>
      <w:r w:rsidR="00E80984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>constitutional.</w:t>
      </w:r>
      <w:r w:rsidR="00BF2D42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70A2E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BCRA </w:t>
      </w:r>
      <w:r w:rsidR="009E447D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>banned</w:t>
      </w:r>
      <w:r w:rsidR="00D70A2E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corporate</w:t>
      </w:r>
      <w:r w:rsidR="009E447D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funding particularly on </w:t>
      </w:r>
      <w:r w:rsidR="00D70A2E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“electioneering communications,” </w:t>
      </w:r>
      <w:r w:rsidR="009E447D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>including supporting</w:t>
      </w:r>
      <w:r w:rsidR="00D70A2E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candidate for federal office </w:t>
      </w:r>
      <w:r w:rsidR="003A1A73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>during elections</w:t>
      </w:r>
      <w:r w:rsidR="00C500D8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(Boatright, 2015)</w:t>
      </w:r>
      <w:r w:rsidR="003A1A73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However, the Supreme Court's fairly deferential </w:t>
      </w:r>
      <w:r w:rsidR="00C71CE8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stance toward campaign finance has ruled off every ban on corporate contribution, more specifically on the premise that holding that the federal </w:t>
      </w:r>
      <w:r w:rsidR="00B225B3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>veto</w:t>
      </w:r>
      <w:r w:rsidR="00C71CE8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on corpora</w:t>
      </w:r>
      <w:r w:rsidR="008C0EBE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>te financing</w:t>
      </w:r>
      <w:r w:rsidR="00296504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 campaign</w:t>
      </w:r>
      <w:r w:rsidR="00C71CE8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C0EBE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>infringes</w:t>
      </w:r>
      <w:r w:rsidR="00C71CE8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First Amendment</w:t>
      </w:r>
      <w:r w:rsidR="00296504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Thus, in recent times, an individual can form a company or corporation and </w:t>
      </w:r>
      <w:r w:rsidR="00296504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t</w:t>
      </w:r>
      <w:r w:rsidR="00F4302E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hen donate as much money as they </w:t>
      </w:r>
      <w:r w:rsidR="00296504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see fit to a particular candidate </w:t>
      </w:r>
      <w:r w:rsidR="00F4302E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>or political party, without</w:t>
      </w:r>
      <w:r w:rsidR="00296504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restrictions</w:t>
      </w:r>
      <w:r w:rsidR="00F4302E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763921" w:rsidRPr="009466C4" w:rsidRDefault="006C6AC7" w:rsidP="009466C4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66C4">
        <w:rPr>
          <w:rFonts w:ascii="Times New Roman" w:hAnsi="Times New Roman" w:cs="Times New Roman"/>
          <w:b/>
          <w:sz w:val="24"/>
          <w:szCs w:val="24"/>
        </w:rPr>
        <w:t>Example of Corporate Contribution to Campaign Finance</w:t>
      </w:r>
    </w:p>
    <w:p w:rsidR="00763921" w:rsidRPr="00513BFF" w:rsidRDefault="006C6AC7" w:rsidP="00D8453A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13BFF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C823BF" w:rsidRPr="00513BFF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National Rifle Association (NRA) has over the years been </w:t>
      </w:r>
      <w:r w:rsidR="006E147B" w:rsidRPr="00513BFF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considered as one of the corporate group that has a predominant</w:t>
      </w:r>
      <w:r w:rsidRPr="00513BFF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influence on American politics.</w:t>
      </w:r>
      <w:r w:rsidR="006E147B" w:rsidRPr="00513BFF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 xml:space="preserve"> The </w:t>
      </w:r>
      <w:r w:rsidRPr="00513BFF">
        <w:rPr>
          <w:rFonts w:ascii="Times New Roman" w:eastAsia="Times New Roman" w:hAnsi="Times New Roman" w:cs="Times New Roman"/>
          <w:sz w:val="24"/>
          <w:szCs w:val="24"/>
        </w:rPr>
        <w:t xml:space="preserve">NRA </w:t>
      </w:r>
      <w:r w:rsidR="006E147B" w:rsidRPr="00513BFF">
        <w:rPr>
          <w:rFonts w:ascii="Times New Roman" w:eastAsia="Times New Roman" w:hAnsi="Times New Roman" w:cs="Times New Roman"/>
          <w:sz w:val="24"/>
          <w:szCs w:val="24"/>
        </w:rPr>
        <w:t xml:space="preserve">group </w:t>
      </w:r>
      <w:r w:rsidR="00B56011" w:rsidRPr="00513BFF">
        <w:rPr>
          <w:rFonts w:ascii="Times New Roman" w:eastAsia="Times New Roman" w:hAnsi="Times New Roman" w:cs="Times New Roman"/>
          <w:sz w:val="24"/>
          <w:szCs w:val="24"/>
        </w:rPr>
        <w:t>frequently contributes to congressional candidates in every midterm and general election.</w:t>
      </w:r>
      <w:r w:rsidR="00550183" w:rsidRPr="00513BFF">
        <w:rPr>
          <w:rFonts w:ascii="Times New Roman" w:eastAsia="Times New Roman" w:hAnsi="Times New Roman" w:cs="Times New Roman"/>
          <w:sz w:val="24"/>
          <w:szCs w:val="24"/>
        </w:rPr>
        <w:t xml:space="preserve"> Despite, the controversies surrounding the ever-increasing </w:t>
      </w:r>
      <w:r w:rsidR="00550183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gun shooting, the NRA still remains to be one of the most powerful gun rights lobbies in the </w:t>
      </w:r>
      <w:r w:rsidR="005465FF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US, which </w:t>
      </w:r>
      <w:r w:rsidR="00B05005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>uses</w:t>
      </w:r>
      <w:r w:rsidR="00550183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millions every year to advance its agenda in Congress</w:t>
      </w:r>
      <w:sdt>
        <w:sdtPr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id w:val="55452663"/>
          <w:citation/>
        </w:sdtPr>
        <w:sdtEndPr/>
        <w:sdtContent>
          <w:r w:rsidR="00FD62B7" w:rsidRPr="00513BFF">
            <w:rPr>
              <w:rFonts w:ascii="Times New Roman" w:hAnsi="Times New Roman" w:cs="Times New Roman"/>
              <w:sz w:val="24"/>
              <w:szCs w:val="24"/>
              <w:shd w:val="clear" w:color="auto" w:fill="FFFFFF"/>
            </w:rPr>
            <w:fldChar w:fldCharType="begin"/>
          </w:r>
          <w:r w:rsidR="00FD62B7" w:rsidRPr="00513BFF">
            <w:rPr>
              <w:rFonts w:ascii="Times New Roman" w:hAnsi="Times New Roman" w:cs="Times New Roman"/>
              <w:sz w:val="24"/>
              <w:szCs w:val="24"/>
              <w:shd w:val="clear" w:color="auto" w:fill="FFFFFF"/>
            </w:rPr>
            <w:instrText xml:space="preserve"> CITATION Bre18 \l 1033 </w:instrText>
          </w:r>
          <w:r w:rsidR="00FD62B7" w:rsidRPr="00513BFF">
            <w:rPr>
              <w:rFonts w:ascii="Times New Roman" w:hAnsi="Times New Roman" w:cs="Times New Roman"/>
              <w:sz w:val="24"/>
              <w:szCs w:val="24"/>
              <w:shd w:val="clear" w:color="auto" w:fill="FFFFFF"/>
            </w:rPr>
            <w:fldChar w:fldCharType="separate"/>
          </w:r>
          <w:r w:rsidR="00FD62B7" w:rsidRPr="00513BFF">
            <w:rPr>
              <w:rFonts w:ascii="Times New Roman" w:hAnsi="Times New Roman" w:cs="Times New Roman"/>
              <w:noProof/>
              <w:sz w:val="24"/>
              <w:szCs w:val="24"/>
              <w:shd w:val="clear" w:color="auto" w:fill="FFFFFF"/>
            </w:rPr>
            <w:t xml:space="preserve"> (Gould, 2018)</w:t>
          </w:r>
          <w:r w:rsidR="00FD62B7" w:rsidRPr="00513BFF">
            <w:rPr>
              <w:rFonts w:ascii="Times New Roman" w:hAnsi="Times New Roman" w:cs="Times New Roman"/>
              <w:sz w:val="24"/>
              <w:szCs w:val="24"/>
              <w:shd w:val="clear" w:color="auto" w:fill="FFFFFF"/>
            </w:rPr>
            <w:fldChar w:fldCharType="end"/>
          </w:r>
        </w:sdtContent>
      </w:sdt>
      <w:r w:rsidR="005465FF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E27500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>T</w:t>
      </w:r>
      <w:r w:rsidR="007A51A5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he NRA's </w:t>
      </w:r>
      <w:r w:rsidR="00D47866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>impact on</w:t>
      </w:r>
      <w:r w:rsidR="007A51A5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political funding </w:t>
      </w:r>
      <w:r w:rsidR="00D47866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>vestiges</w:t>
      </w:r>
      <w:r w:rsidR="005465FF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</w:t>
      </w:r>
      <w:r w:rsidR="00D47866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>combative</w:t>
      </w:r>
      <w:r w:rsidR="005465FF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</w:t>
      </w:r>
      <w:r w:rsidR="00D47866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>central</w:t>
      </w:r>
      <w:r w:rsidR="005465FF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aspect</w:t>
      </w:r>
      <w:r w:rsidR="007A51A5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that sparks perceptions of</w:t>
      </w:r>
      <w:r w:rsidR="00E27500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how its contributions to both parties </w:t>
      </w:r>
      <w:r w:rsidR="00E27500" w:rsidRPr="00513BFF">
        <w:rPr>
          <w:rFonts w:ascii="Times New Roman" w:eastAsia="Times New Roman" w:hAnsi="Times New Roman" w:cs="Times New Roman"/>
          <w:sz w:val="24"/>
          <w:szCs w:val="24"/>
        </w:rPr>
        <w:t>corrupting influence on US gun policy on</w:t>
      </w:r>
      <w:r w:rsidR="005465FF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</w:t>
      </w:r>
      <w:r w:rsidR="000C5880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>continuing</w:t>
      </w:r>
      <w:r w:rsidR="005465FF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gun </w:t>
      </w:r>
      <w:r w:rsidR="000C5880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>deliberation</w:t>
      </w:r>
      <w:r w:rsidR="00E27500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F711E7" w:rsidRPr="00513BFF" w:rsidRDefault="006C6AC7" w:rsidP="00D8453A">
      <w:pPr>
        <w:pStyle w:val="NoSpacing"/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EFEFE"/>
        </w:rPr>
      </w:pPr>
      <w:r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NRA corporation influence has been in question by </w:t>
      </w:r>
      <w:r w:rsidR="002971F7"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Court. For instance, a lawsuit was filed by </w:t>
      </w:r>
      <w:r w:rsidR="000A28EE" w:rsidRPr="00513BFF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Giffords and Campaign Legal Center Action contended in the suit that NRA </w:t>
      </w:r>
      <w:r w:rsidRPr="00513BFF">
        <w:rPr>
          <w:rFonts w:ascii="Times New Roman" w:hAnsi="Times New Roman" w:cs="Times New Roman"/>
          <w:sz w:val="24"/>
          <w:szCs w:val="24"/>
          <w:shd w:val="clear" w:color="auto" w:fill="FEFEFE"/>
        </w:rPr>
        <w:t>avoided</w:t>
      </w:r>
      <w:r w:rsidR="000A28EE" w:rsidRPr="00513BFF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contribution limits to </w:t>
      </w:r>
      <w:r w:rsidRPr="00513BFF">
        <w:rPr>
          <w:rFonts w:ascii="Times New Roman" w:hAnsi="Times New Roman" w:cs="Times New Roman"/>
          <w:sz w:val="24"/>
          <w:szCs w:val="24"/>
          <w:shd w:val="clear" w:color="auto" w:fill="FEFEFE"/>
        </w:rPr>
        <w:t>offer</w:t>
      </w:r>
      <w:r w:rsidR="000A28EE" w:rsidRPr="00513BFF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an unfair </w:t>
      </w:r>
      <w:r w:rsidRPr="00513BFF">
        <w:rPr>
          <w:rFonts w:ascii="Times New Roman" w:hAnsi="Times New Roman" w:cs="Times New Roman"/>
          <w:sz w:val="24"/>
          <w:szCs w:val="24"/>
          <w:shd w:val="clear" w:color="auto" w:fill="FEFEFE"/>
        </w:rPr>
        <w:t>benefit</w:t>
      </w:r>
      <w:r w:rsidR="000A28EE" w:rsidRPr="00513BFF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to Tru</w:t>
      </w:r>
      <w:r w:rsidRPr="00513BFF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mp and other </w:t>
      </w:r>
      <w:r w:rsidRPr="00513BFF">
        <w:rPr>
          <w:rFonts w:ascii="Times New Roman" w:hAnsi="Times New Roman" w:cs="Times New Roman"/>
          <w:sz w:val="24"/>
          <w:szCs w:val="24"/>
          <w:shd w:val="clear" w:color="auto" w:fill="FEFEFE"/>
        </w:rPr>
        <w:t>candidates</w:t>
      </w:r>
      <w:sdt>
        <w:sdtPr>
          <w:rPr>
            <w:rFonts w:ascii="Times New Roman" w:hAnsi="Times New Roman" w:cs="Times New Roman"/>
            <w:sz w:val="24"/>
            <w:szCs w:val="24"/>
            <w:shd w:val="clear" w:color="auto" w:fill="FEFEFE"/>
          </w:rPr>
          <w:id w:val="1677232496"/>
          <w:citation/>
        </w:sdtPr>
        <w:sdtEndPr/>
        <w:sdtContent>
          <w:r w:rsidR="00210290" w:rsidRPr="00513BFF">
            <w:rPr>
              <w:rFonts w:ascii="Times New Roman" w:hAnsi="Times New Roman" w:cs="Times New Roman"/>
              <w:sz w:val="24"/>
              <w:szCs w:val="24"/>
              <w:shd w:val="clear" w:color="auto" w:fill="FEFEFE"/>
            </w:rPr>
            <w:fldChar w:fldCharType="begin"/>
          </w:r>
          <w:r w:rsidR="00210290" w:rsidRPr="00513BFF">
            <w:rPr>
              <w:rFonts w:ascii="Times New Roman" w:hAnsi="Times New Roman" w:cs="Times New Roman"/>
              <w:sz w:val="24"/>
              <w:szCs w:val="24"/>
              <w:shd w:val="clear" w:color="auto" w:fill="FEFEFE"/>
            </w:rPr>
            <w:instrText xml:space="preserve"> CITATION Fre19 \l 1033 </w:instrText>
          </w:r>
          <w:r w:rsidR="00210290" w:rsidRPr="00513BFF">
            <w:rPr>
              <w:rFonts w:ascii="Times New Roman" w:hAnsi="Times New Roman" w:cs="Times New Roman"/>
              <w:sz w:val="24"/>
              <w:szCs w:val="24"/>
              <w:shd w:val="clear" w:color="auto" w:fill="FEFEFE"/>
            </w:rPr>
            <w:fldChar w:fldCharType="separate"/>
          </w:r>
          <w:r w:rsidR="00210290" w:rsidRPr="00513BFF">
            <w:rPr>
              <w:rFonts w:ascii="Times New Roman" w:hAnsi="Times New Roman" w:cs="Times New Roman"/>
              <w:noProof/>
              <w:sz w:val="24"/>
              <w:szCs w:val="24"/>
              <w:shd w:val="clear" w:color="auto" w:fill="FEFEFE"/>
            </w:rPr>
            <w:t xml:space="preserve"> (Schouten, 2019)</w:t>
          </w:r>
          <w:r w:rsidR="00210290" w:rsidRPr="00513BFF">
            <w:rPr>
              <w:rFonts w:ascii="Times New Roman" w:hAnsi="Times New Roman" w:cs="Times New Roman"/>
              <w:sz w:val="24"/>
              <w:szCs w:val="24"/>
              <w:shd w:val="clear" w:color="auto" w:fill="FEFEFE"/>
            </w:rPr>
            <w:fldChar w:fldCharType="end"/>
          </w:r>
        </w:sdtContent>
      </w:sdt>
      <w:r w:rsidRPr="00513BFF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.  This case failed to pick because </w:t>
      </w:r>
      <w:r w:rsidR="00A72324" w:rsidRPr="00513BFF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the </w:t>
      </w:r>
      <w:r w:rsidR="004A1FA6" w:rsidRPr="00513BFF">
        <w:rPr>
          <w:rFonts w:ascii="Times New Roman" w:hAnsi="Times New Roman" w:cs="Times New Roman"/>
          <w:sz w:val="24"/>
          <w:szCs w:val="24"/>
          <w:shd w:val="clear" w:color="auto" w:fill="FEFEFE"/>
        </w:rPr>
        <w:t>federal law permits corporations</w:t>
      </w:r>
      <w:r w:rsidRPr="00513BFF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to spend any amount to i</w:t>
      </w:r>
      <w:r w:rsidR="004A1FA6" w:rsidRPr="00513BFF">
        <w:rPr>
          <w:rFonts w:ascii="Times New Roman" w:hAnsi="Times New Roman" w:cs="Times New Roman"/>
          <w:sz w:val="24"/>
          <w:szCs w:val="24"/>
          <w:shd w:val="clear" w:color="auto" w:fill="FEFEFE"/>
        </w:rPr>
        <w:t>nfluence candidate elections only if t</w:t>
      </w:r>
      <w:r w:rsidRPr="00513BFF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hey do not </w:t>
      </w:r>
      <w:r w:rsidR="00C410EE" w:rsidRPr="00513BFF">
        <w:rPr>
          <w:rFonts w:ascii="Times New Roman" w:hAnsi="Times New Roman" w:cs="Times New Roman"/>
          <w:sz w:val="24"/>
          <w:szCs w:val="24"/>
          <w:shd w:val="clear" w:color="auto" w:fill="FEFEFE"/>
        </w:rPr>
        <w:t>synchronize</w:t>
      </w:r>
      <w:r w:rsidRPr="00513BFF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their spending </w:t>
      </w:r>
      <w:r w:rsidR="00C410EE" w:rsidRPr="00513BFF">
        <w:rPr>
          <w:rFonts w:ascii="Times New Roman" w:hAnsi="Times New Roman" w:cs="Times New Roman"/>
          <w:sz w:val="24"/>
          <w:szCs w:val="24"/>
          <w:shd w:val="clear" w:color="auto" w:fill="FEFEFE"/>
        </w:rPr>
        <w:t>procedures</w:t>
      </w:r>
      <w:r w:rsidRPr="00513BFF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with the candidates they </w:t>
      </w:r>
      <w:r w:rsidR="00C410EE" w:rsidRPr="00513BFF">
        <w:rPr>
          <w:rFonts w:ascii="Times New Roman" w:hAnsi="Times New Roman" w:cs="Times New Roman"/>
          <w:sz w:val="24"/>
          <w:szCs w:val="24"/>
          <w:shd w:val="clear" w:color="auto" w:fill="FEFEFE"/>
        </w:rPr>
        <w:t>back</w:t>
      </w:r>
      <w:r w:rsidRPr="00513BFF">
        <w:rPr>
          <w:rFonts w:ascii="Times New Roman" w:hAnsi="Times New Roman" w:cs="Times New Roman"/>
          <w:sz w:val="24"/>
          <w:szCs w:val="24"/>
          <w:shd w:val="clear" w:color="auto" w:fill="FEFEFE"/>
        </w:rPr>
        <w:t>.</w:t>
      </w:r>
      <w:r w:rsidR="004723A3" w:rsidRPr="00513BFF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In this case, the lawsuit and underlying complaints</w:t>
      </w:r>
      <w:r w:rsidR="00830FCB" w:rsidRPr="00513BFF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against NRA</w:t>
      </w:r>
      <w:r w:rsidR="004723A3" w:rsidRPr="00513BFF">
        <w:rPr>
          <w:rFonts w:ascii="Times New Roman" w:hAnsi="Times New Roman" w:cs="Times New Roman"/>
          <w:sz w:val="24"/>
          <w:szCs w:val="24"/>
          <w:shd w:val="clear" w:color="auto" w:fill="FEFEFE"/>
        </w:rPr>
        <w:t> did not ma</w:t>
      </w:r>
      <w:r w:rsidR="000E42AD" w:rsidRPr="00513BFF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terialize because there </w:t>
      </w:r>
      <w:r w:rsidR="00830FCB" w:rsidRPr="00513BFF">
        <w:rPr>
          <w:rFonts w:ascii="Times New Roman" w:hAnsi="Times New Roman" w:cs="Times New Roman"/>
          <w:sz w:val="24"/>
          <w:szCs w:val="24"/>
          <w:shd w:val="clear" w:color="auto" w:fill="FEFEFE"/>
        </w:rPr>
        <w:t>are no restrictions</w:t>
      </w:r>
      <w:r w:rsidR="000E42AD" w:rsidRPr="00513BFF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 to corporations on contribution </w:t>
      </w:r>
      <w:r w:rsidR="00BC4D11" w:rsidRPr="00513BFF">
        <w:rPr>
          <w:rFonts w:ascii="Times New Roman" w:hAnsi="Times New Roman" w:cs="Times New Roman"/>
          <w:sz w:val="24"/>
          <w:szCs w:val="24"/>
          <w:shd w:val="clear" w:color="auto" w:fill="FEFEFE"/>
        </w:rPr>
        <w:t xml:space="preserve">to campaign financing. </w:t>
      </w:r>
    </w:p>
    <w:p w:rsidR="00D8453A" w:rsidRDefault="00D8453A" w:rsidP="00D8453A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EFEFE"/>
        </w:rPr>
      </w:pPr>
    </w:p>
    <w:p w:rsidR="00D8453A" w:rsidRDefault="00D8453A" w:rsidP="00D8453A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EFEFE"/>
        </w:rPr>
      </w:pPr>
    </w:p>
    <w:p w:rsidR="00D8453A" w:rsidRDefault="00D8453A" w:rsidP="00D8453A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EFEFE"/>
        </w:rPr>
      </w:pPr>
    </w:p>
    <w:p w:rsidR="00D8453A" w:rsidRDefault="00D8453A" w:rsidP="00D8453A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EFEFE"/>
        </w:rPr>
      </w:pPr>
    </w:p>
    <w:p w:rsidR="000F60B2" w:rsidRPr="00513BFF" w:rsidRDefault="006C6AC7" w:rsidP="00D8453A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EFEFE"/>
        </w:rPr>
      </w:pPr>
      <w:r w:rsidRPr="00513BFF">
        <w:rPr>
          <w:rFonts w:ascii="Times New Roman" w:hAnsi="Times New Roman" w:cs="Times New Roman"/>
          <w:sz w:val="24"/>
          <w:szCs w:val="24"/>
          <w:shd w:val="clear" w:color="auto" w:fill="FEFEFE"/>
        </w:rPr>
        <w:lastRenderedPageBreak/>
        <w:t>References</w:t>
      </w:r>
    </w:p>
    <w:p w:rsidR="000F60B2" w:rsidRPr="00513BFF" w:rsidRDefault="006C6AC7" w:rsidP="00D8453A">
      <w:pPr>
        <w:pStyle w:val="NoSpacing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13BFF">
        <w:rPr>
          <w:rFonts w:ascii="Times New Roman" w:hAnsi="Times New Roman" w:cs="Times New Roman"/>
          <w:sz w:val="24"/>
          <w:szCs w:val="24"/>
          <w:shd w:val="clear" w:color="auto" w:fill="FFFFFF"/>
        </w:rPr>
        <w:t>Boatright, R. G. (2015). </w:t>
      </w:r>
      <w:r w:rsidRPr="00513BFF">
        <w:rPr>
          <w:rFonts w:ascii="Times New Roman" w:hAnsi="Times New Roman" w:cs="Times New Roman"/>
          <w:i/>
          <w:iCs/>
          <w:sz w:val="24"/>
          <w:szCs w:val="24"/>
        </w:rPr>
        <w:t xml:space="preserve">The </w:t>
      </w:r>
      <w:r w:rsidRPr="00513BFF">
        <w:rPr>
          <w:rFonts w:ascii="Times New Roman" w:hAnsi="Times New Roman" w:cs="Times New Roman"/>
          <w:i/>
          <w:iCs/>
          <w:sz w:val="24"/>
          <w:szCs w:val="24"/>
        </w:rPr>
        <w:t>Deregulatory Moment</w:t>
      </w:r>
      <w:proofErr w:type="gramStart"/>
      <w:r w:rsidRPr="00513BFF">
        <w:rPr>
          <w:rFonts w:ascii="Times New Roman" w:hAnsi="Times New Roman" w:cs="Times New Roman"/>
          <w:i/>
          <w:iCs/>
          <w:sz w:val="24"/>
          <w:szCs w:val="24"/>
        </w:rPr>
        <w:t>?:</w:t>
      </w:r>
      <w:proofErr w:type="gramEnd"/>
      <w:r w:rsidRPr="00513BFF">
        <w:rPr>
          <w:rFonts w:ascii="Times New Roman" w:hAnsi="Times New Roman" w:cs="Times New Roman"/>
          <w:i/>
          <w:iCs/>
          <w:sz w:val="24"/>
          <w:szCs w:val="24"/>
        </w:rPr>
        <w:t xml:space="preserve"> A Comparative Perspective on Changing Campaign Finance Laws</w:t>
      </w:r>
      <w:r w:rsidRPr="00513BFF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513BFF">
        <w:rPr>
          <w:rFonts w:ascii="Times New Roman" w:hAnsi="Times New Roman" w:cs="Times New Roman"/>
          <w:sz w:val="24"/>
          <w:szCs w:val="24"/>
        </w:rPr>
        <w:t>University of Michigan Press.</w:t>
      </w:r>
      <w:proofErr w:type="gramEnd"/>
    </w:p>
    <w:sdt>
      <w:sdtPr>
        <w:rPr>
          <w:rFonts w:ascii="Times New Roman" w:hAnsi="Times New Roman" w:cs="Times New Roman"/>
          <w:sz w:val="24"/>
          <w:szCs w:val="24"/>
        </w:rPr>
        <w:id w:val="-944459935"/>
        <w:bibliography/>
      </w:sdtPr>
      <w:sdtEndPr/>
      <w:sdtContent>
        <w:p w:rsidR="000F60B2" w:rsidRPr="00513BFF" w:rsidRDefault="006C6AC7" w:rsidP="00D8453A">
          <w:pPr>
            <w:pStyle w:val="NoSpacing"/>
            <w:spacing w:line="480" w:lineRule="auto"/>
            <w:ind w:left="720" w:hanging="720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513BFF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513BFF">
            <w:rPr>
              <w:rFonts w:ascii="Times New Roman" w:hAnsi="Times New Roman" w:cs="Times New Roman"/>
              <w:sz w:val="24"/>
              <w:szCs w:val="24"/>
            </w:rPr>
            <w:instrText xml:space="preserve"> BIBLIOGRAPHY </w:instrText>
          </w:r>
          <w:r w:rsidRPr="00513BFF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513BFF">
            <w:rPr>
              <w:rFonts w:ascii="Times New Roman" w:hAnsi="Times New Roman" w:cs="Times New Roman"/>
              <w:noProof/>
              <w:sz w:val="24"/>
              <w:szCs w:val="24"/>
            </w:rPr>
            <w:t xml:space="preserve">Gould, B. W. (2018, Feb 28). </w:t>
          </w:r>
          <w:r w:rsidRPr="00513BFF">
            <w:rPr>
              <w:rFonts w:ascii="Times New Roman" w:hAnsi="Times New Roman" w:cs="Times New Roman"/>
              <w:i/>
              <w:iCs/>
              <w:noProof/>
              <w:sz w:val="24"/>
              <w:szCs w:val="24"/>
            </w:rPr>
            <w:t>These are the members of Congress with the most NRA donations</w:t>
          </w:r>
          <w:r w:rsidRPr="00513BFF">
            <w:rPr>
              <w:rFonts w:ascii="Times New Roman" w:hAnsi="Times New Roman" w:cs="Times New Roman"/>
              <w:noProof/>
              <w:sz w:val="24"/>
              <w:szCs w:val="24"/>
            </w:rPr>
            <w:t>. Retrieved May 22, 2019, from Business</w:t>
          </w:r>
          <w:r w:rsidRPr="00513BFF">
            <w:rPr>
              <w:rFonts w:ascii="Times New Roman" w:hAnsi="Times New Roman" w:cs="Times New Roman"/>
              <w:noProof/>
              <w:sz w:val="24"/>
              <w:szCs w:val="24"/>
            </w:rPr>
            <w:t xml:space="preserve"> Insider: https://www.businessinsider.com/nra-political-contributions-congressional-candidates-house-senate-2018-2?IR=T</w:t>
          </w:r>
        </w:p>
        <w:p w:rsidR="000F60B2" w:rsidRPr="00513BFF" w:rsidRDefault="006C6AC7" w:rsidP="00D8453A">
          <w:pPr>
            <w:pStyle w:val="NoSpacing"/>
            <w:spacing w:line="480" w:lineRule="auto"/>
            <w:ind w:left="720" w:hanging="720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513BFF">
            <w:rPr>
              <w:rFonts w:ascii="Times New Roman" w:hAnsi="Times New Roman" w:cs="Times New Roman"/>
              <w:noProof/>
              <w:sz w:val="24"/>
              <w:szCs w:val="24"/>
            </w:rPr>
            <w:t xml:space="preserve">NCSL. (2019). </w:t>
          </w:r>
          <w:r w:rsidRPr="00513BFF">
            <w:rPr>
              <w:rFonts w:ascii="Times New Roman" w:hAnsi="Times New Roman" w:cs="Times New Roman"/>
              <w:i/>
              <w:iCs/>
              <w:noProof/>
              <w:sz w:val="24"/>
              <w:szCs w:val="24"/>
            </w:rPr>
            <w:t>Campaign Finance and the Supreme Court</w:t>
          </w:r>
          <w:r w:rsidRPr="00513BFF">
            <w:rPr>
              <w:rFonts w:ascii="Times New Roman" w:hAnsi="Times New Roman" w:cs="Times New Roman"/>
              <w:noProof/>
              <w:sz w:val="24"/>
              <w:szCs w:val="24"/>
            </w:rPr>
            <w:t>. Retrieved May 22, 2019, from National Conference of State Legislatures: http://www</w:t>
          </w:r>
          <w:r w:rsidRPr="00513BFF">
            <w:rPr>
              <w:rFonts w:ascii="Times New Roman" w:hAnsi="Times New Roman" w:cs="Times New Roman"/>
              <w:noProof/>
              <w:sz w:val="24"/>
              <w:szCs w:val="24"/>
            </w:rPr>
            <w:t>.ncsl.org/research/elections-and-campaigns/campaign-finance-and-the-supreme-court.aspx</w:t>
          </w:r>
        </w:p>
        <w:p w:rsidR="000F60B2" w:rsidRPr="00513BFF" w:rsidRDefault="006C6AC7" w:rsidP="00D8453A">
          <w:pPr>
            <w:pStyle w:val="NoSpacing"/>
            <w:spacing w:line="480" w:lineRule="auto"/>
            <w:ind w:left="720" w:hanging="720"/>
            <w:rPr>
              <w:rFonts w:ascii="Times New Roman" w:hAnsi="Times New Roman" w:cs="Times New Roman"/>
              <w:sz w:val="24"/>
              <w:szCs w:val="24"/>
            </w:rPr>
          </w:pPr>
          <w:r w:rsidRPr="00513BFF">
            <w:rPr>
              <w:rFonts w:ascii="Times New Roman" w:hAnsi="Times New Roman" w:cs="Times New Roman"/>
              <w:sz w:val="24"/>
              <w:szCs w:val="24"/>
              <w:shd w:val="clear" w:color="auto" w:fill="FFFFFF"/>
            </w:rPr>
            <w:t>Stein, R. M. (2015). Election Law Journal: Rules, Politics, and Policy. </w:t>
          </w:r>
          <w:proofErr w:type="gramStart"/>
          <w:r w:rsidRPr="00513BFF">
            <w:rPr>
              <w:rFonts w:ascii="Times New Roman" w:hAnsi="Times New Roman" w:cs="Times New Roman"/>
              <w:i/>
              <w:iCs/>
              <w:sz w:val="24"/>
              <w:szCs w:val="24"/>
            </w:rPr>
            <w:t>Election Law Journal</w:t>
          </w:r>
          <w:r w:rsidRPr="00513BFF">
            <w:rPr>
              <w:rFonts w:ascii="Times New Roman" w:hAnsi="Times New Roman" w:cs="Times New Roman"/>
              <w:sz w:val="24"/>
              <w:szCs w:val="24"/>
            </w:rPr>
            <w:t>, </w:t>
          </w:r>
          <w:r w:rsidRPr="00513BFF">
            <w:rPr>
              <w:rFonts w:ascii="Times New Roman" w:hAnsi="Times New Roman" w:cs="Times New Roman"/>
              <w:i/>
              <w:iCs/>
              <w:sz w:val="24"/>
              <w:szCs w:val="24"/>
            </w:rPr>
            <w:t>14</w:t>
          </w:r>
          <w:r w:rsidRPr="00513BFF">
            <w:rPr>
              <w:rFonts w:ascii="Times New Roman" w:hAnsi="Times New Roman" w:cs="Times New Roman"/>
              <w:sz w:val="24"/>
              <w:szCs w:val="24"/>
            </w:rPr>
            <w:t>(1).</w:t>
          </w:r>
          <w:proofErr w:type="gramEnd"/>
        </w:p>
        <w:p w:rsidR="000F60B2" w:rsidRPr="00513BFF" w:rsidRDefault="006C6AC7" w:rsidP="00D8453A">
          <w:pPr>
            <w:pStyle w:val="NoSpacing"/>
            <w:spacing w:line="480" w:lineRule="auto"/>
            <w:ind w:left="720" w:hanging="720"/>
            <w:rPr>
              <w:rFonts w:ascii="Times New Roman" w:hAnsi="Times New Roman" w:cs="Times New Roman"/>
              <w:sz w:val="24"/>
              <w:szCs w:val="24"/>
            </w:rPr>
          </w:pPr>
          <w:r w:rsidRPr="00513BFF">
            <w:rPr>
              <w:rFonts w:ascii="Times New Roman" w:hAnsi="Times New Roman" w:cs="Times New Roman"/>
              <w:sz w:val="24"/>
              <w:szCs w:val="24"/>
              <w:shd w:val="clear" w:color="auto" w:fill="FFFFFF"/>
            </w:rPr>
            <w:t xml:space="preserve">Stephanopoulos, N. O. (2015). </w:t>
          </w:r>
          <w:proofErr w:type="gramStart"/>
          <w:r w:rsidRPr="00513BFF">
            <w:rPr>
              <w:rFonts w:ascii="Times New Roman" w:hAnsi="Times New Roman" w:cs="Times New Roman"/>
              <w:sz w:val="24"/>
              <w:szCs w:val="24"/>
              <w:shd w:val="clear" w:color="auto" w:fill="FFFFFF"/>
            </w:rPr>
            <w:t>Aligning campaign finance law.</w:t>
          </w:r>
          <w:proofErr w:type="gramEnd"/>
          <w:r w:rsidRPr="00513BFF">
            <w:rPr>
              <w:rFonts w:ascii="Times New Roman" w:hAnsi="Times New Roman" w:cs="Times New Roman"/>
              <w:sz w:val="24"/>
              <w:szCs w:val="24"/>
              <w:shd w:val="clear" w:color="auto" w:fill="FFFFFF"/>
            </w:rPr>
            <w:t> </w:t>
          </w:r>
          <w:r w:rsidRPr="00513BFF">
            <w:rPr>
              <w:rFonts w:ascii="Times New Roman" w:hAnsi="Times New Roman" w:cs="Times New Roman"/>
              <w:i/>
              <w:iCs/>
              <w:sz w:val="24"/>
              <w:szCs w:val="24"/>
            </w:rPr>
            <w:t xml:space="preserve">Va. L. </w:t>
          </w:r>
          <w:r w:rsidRPr="00513BFF">
            <w:rPr>
              <w:rFonts w:ascii="Times New Roman" w:hAnsi="Times New Roman" w:cs="Times New Roman"/>
              <w:i/>
              <w:iCs/>
              <w:sz w:val="24"/>
              <w:szCs w:val="24"/>
            </w:rPr>
            <w:t>Rev.</w:t>
          </w:r>
          <w:r w:rsidRPr="00513BFF">
            <w:rPr>
              <w:rFonts w:ascii="Times New Roman" w:hAnsi="Times New Roman" w:cs="Times New Roman"/>
              <w:sz w:val="24"/>
              <w:szCs w:val="24"/>
            </w:rPr>
            <w:t>, </w:t>
          </w:r>
          <w:r w:rsidRPr="00513BFF">
            <w:rPr>
              <w:rFonts w:ascii="Times New Roman" w:hAnsi="Times New Roman" w:cs="Times New Roman"/>
              <w:i/>
              <w:iCs/>
              <w:sz w:val="24"/>
              <w:szCs w:val="24"/>
            </w:rPr>
            <w:t>101</w:t>
          </w:r>
          <w:r w:rsidRPr="00513BFF">
            <w:rPr>
              <w:rFonts w:ascii="Times New Roman" w:hAnsi="Times New Roman" w:cs="Times New Roman"/>
              <w:sz w:val="24"/>
              <w:szCs w:val="24"/>
            </w:rPr>
            <w:t>, 1425.</w:t>
          </w:r>
        </w:p>
        <w:p w:rsidR="000F60B2" w:rsidRPr="00513BFF" w:rsidRDefault="006C6AC7" w:rsidP="00D8453A">
          <w:pPr>
            <w:pStyle w:val="NoSpacing"/>
            <w:spacing w:line="480" w:lineRule="auto"/>
            <w:ind w:left="720" w:hanging="720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513BFF">
            <w:rPr>
              <w:rFonts w:ascii="Times New Roman" w:hAnsi="Times New Roman" w:cs="Times New Roman"/>
              <w:noProof/>
              <w:sz w:val="24"/>
              <w:szCs w:val="24"/>
            </w:rPr>
            <w:t xml:space="preserve">Schouten, F. (2019, April 24). </w:t>
          </w:r>
          <w:r w:rsidRPr="00513BFF">
            <w:rPr>
              <w:rFonts w:ascii="Times New Roman" w:hAnsi="Times New Roman" w:cs="Times New Roman"/>
              <w:i/>
              <w:iCs/>
              <w:noProof/>
              <w:sz w:val="24"/>
              <w:szCs w:val="24"/>
            </w:rPr>
            <w:t>Group sues Federal Election Commission over allegation NRA broke campaign-finance law</w:t>
          </w:r>
          <w:r w:rsidRPr="00513BFF">
            <w:rPr>
              <w:rFonts w:ascii="Times New Roman" w:hAnsi="Times New Roman" w:cs="Times New Roman"/>
              <w:noProof/>
              <w:sz w:val="24"/>
              <w:szCs w:val="24"/>
            </w:rPr>
            <w:t>. Retrieved May 22, 2019, from CNN Politics: https://edition.cnn.com/2019/04/24/politics/gun-safety-group-lawsuit-fec-nra-c</w:t>
          </w:r>
          <w:r w:rsidRPr="00513BFF">
            <w:rPr>
              <w:rFonts w:ascii="Times New Roman" w:hAnsi="Times New Roman" w:cs="Times New Roman"/>
              <w:noProof/>
              <w:sz w:val="24"/>
              <w:szCs w:val="24"/>
            </w:rPr>
            <w:t>ampaign-finance/index.html</w:t>
          </w:r>
        </w:p>
        <w:p w:rsidR="000F60B2" w:rsidRPr="00513BFF" w:rsidRDefault="006C6AC7" w:rsidP="00D8453A">
          <w:pPr>
            <w:pStyle w:val="NoSpacing"/>
            <w:spacing w:line="480" w:lineRule="auto"/>
            <w:ind w:left="720" w:hanging="720"/>
            <w:rPr>
              <w:rFonts w:ascii="Times New Roman" w:hAnsi="Times New Roman" w:cs="Times New Roman"/>
              <w:sz w:val="24"/>
              <w:szCs w:val="24"/>
              <w:shd w:val="clear" w:color="auto" w:fill="FEFEFE"/>
            </w:rPr>
          </w:pPr>
          <w:r w:rsidRPr="00513BFF">
            <w:rPr>
              <w:rFonts w:ascii="Times New Roman" w:hAnsi="Times New Roman" w:cs="Times New Roman"/>
              <w:bCs/>
              <w:noProof/>
              <w:sz w:val="24"/>
              <w:szCs w:val="24"/>
            </w:rPr>
            <w:fldChar w:fldCharType="end"/>
          </w:r>
        </w:p>
      </w:sdtContent>
    </w:sdt>
    <w:p w:rsidR="005D30B1" w:rsidRPr="00513BFF" w:rsidRDefault="005D30B1" w:rsidP="00D8453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63921" w:rsidRPr="00513BFF" w:rsidRDefault="00763921" w:rsidP="00D8453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763921" w:rsidRPr="00513BFF" w:rsidSect="003F1AA1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6AC7" w:rsidRDefault="006C6AC7">
      <w:pPr>
        <w:spacing w:after="0" w:line="240" w:lineRule="auto"/>
      </w:pPr>
      <w:r>
        <w:separator/>
      </w:r>
    </w:p>
  </w:endnote>
  <w:endnote w:type="continuationSeparator" w:id="0">
    <w:p w:rsidR="006C6AC7" w:rsidRDefault="006C6A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6AC7" w:rsidRDefault="006C6AC7">
      <w:pPr>
        <w:spacing w:after="0" w:line="240" w:lineRule="auto"/>
      </w:pPr>
      <w:r>
        <w:separator/>
      </w:r>
    </w:p>
  </w:footnote>
  <w:footnote w:type="continuationSeparator" w:id="0">
    <w:p w:rsidR="006C6AC7" w:rsidRDefault="006C6A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06B9" w:rsidRPr="002F06B9" w:rsidRDefault="006C6AC7">
    <w:pPr>
      <w:pStyle w:val="Header"/>
      <w:jc w:val="right"/>
      <w:rPr>
        <w:rFonts w:ascii="Times New Roman" w:hAnsi="Times New Roman" w:cs="Times New Roman"/>
        <w:sz w:val="24"/>
      </w:rPr>
    </w:pPr>
    <w:r w:rsidRPr="002F06B9">
      <w:rPr>
        <w:rFonts w:ascii="Times New Roman" w:hAnsi="Times New Roman" w:cs="Times New Roman"/>
        <w:sz w:val="24"/>
      </w:rPr>
      <w:t>CAMPA</w:t>
    </w:r>
    <w:r>
      <w:rPr>
        <w:rFonts w:ascii="Times New Roman" w:hAnsi="Times New Roman" w:cs="Times New Roman"/>
        <w:sz w:val="24"/>
      </w:rPr>
      <w:t xml:space="preserve">IGN FINANCING          </w:t>
    </w:r>
    <w:r w:rsidRPr="002F06B9">
      <w:rPr>
        <w:rFonts w:ascii="Times New Roman" w:hAnsi="Times New Roman" w:cs="Times New Roman"/>
        <w:sz w:val="24"/>
      </w:rPr>
      <w:t xml:space="preserve">                                                                                                   </w:t>
    </w:r>
    <w:sdt>
      <w:sdtPr>
        <w:rPr>
          <w:rFonts w:ascii="Times New Roman" w:hAnsi="Times New Roman" w:cs="Times New Roman"/>
          <w:sz w:val="24"/>
        </w:rPr>
        <w:id w:val="-85157568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2F06B9">
          <w:rPr>
            <w:rFonts w:ascii="Times New Roman" w:hAnsi="Times New Roman" w:cs="Times New Roman"/>
            <w:sz w:val="24"/>
          </w:rPr>
          <w:fldChar w:fldCharType="begin"/>
        </w:r>
        <w:r w:rsidRPr="002F06B9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2F06B9">
          <w:rPr>
            <w:rFonts w:ascii="Times New Roman" w:hAnsi="Times New Roman" w:cs="Times New Roman"/>
            <w:sz w:val="24"/>
          </w:rPr>
          <w:fldChar w:fldCharType="separate"/>
        </w:r>
        <w:r w:rsidR="002A23C2">
          <w:rPr>
            <w:rFonts w:ascii="Times New Roman" w:hAnsi="Times New Roman" w:cs="Times New Roman"/>
            <w:noProof/>
            <w:sz w:val="24"/>
          </w:rPr>
          <w:t>2</w:t>
        </w:r>
        <w:r w:rsidRPr="002F06B9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2F06B9" w:rsidRPr="002F06B9" w:rsidRDefault="002F06B9">
    <w:pPr>
      <w:pStyle w:val="Header"/>
      <w:rPr>
        <w:rFonts w:ascii="Times New Roman" w:hAnsi="Times New Roman" w:cs="Times New Roman"/>
        <w:sz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1AA1" w:rsidRPr="003F1AA1" w:rsidRDefault="006C6AC7">
    <w:pPr>
      <w:pStyle w:val="Header"/>
      <w:jc w:val="right"/>
      <w:rPr>
        <w:rFonts w:ascii="Times New Roman" w:hAnsi="Times New Roman" w:cs="Times New Roman"/>
        <w:sz w:val="24"/>
      </w:rPr>
    </w:pPr>
    <w:r w:rsidRPr="003F1AA1">
      <w:rPr>
        <w:rFonts w:ascii="Times New Roman" w:hAnsi="Times New Roman" w:cs="Times New Roman"/>
        <w:sz w:val="24"/>
      </w:rPr>
      <w:t>Running head: CAMPAIGN FINANCING</w:t>
    </w:r>
    <w:sdt>
      <w:sdtPr>
        <w:rPr>
          <w:rFonts w:ascii="Times New Roman" w:hAnsi="Times New Roman" w:cs="Times New Roman"/>
          <w:sz w:val="24"/>
        </w:rPr>
        <w:id w:val="-137923583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3F1AA1">
          <w:rPr>
            <w:rFonts w:ascii="Times New Roman" w:hAnsi="Times New Roman" w:cs="Times New Roman"/>
            <w:sz w:val="24"/>
          </w:rPr>
          <w:t xml:space="preserve">                                       </w:t>
        </w:r>
        <w:r>
          <w:rPr>
            <w:rFonts w:ascii="Times New Roman" w:hAnsi="Times New Roman" w:cs="Times New Roman"/>
            <w:sz w:val="24"/>
          </w:rPr>
          <w:t xml:space="preserve">           </w:t>
        </w:r>
        <w:r w:rsidRPr="003F1AA1">
          <w:rPr>
            <w:rFonts w:ascii="Times New Roman" w:hAnsi="Times New Roman" w:cs="Times New Roman"/>
            <w:sz w:val="24"/>
          </w:rPr>
          <w:t xml:space="preserve">                                   </w:t>
        </w:r>
        <w:r w:rsidRPr="003F1AA1">
          <w:rPr>
            <w:rFonts w:ascii="Times New Roman" w:hAnsi="Times New Roman" w:cs="Times New Roman"/>
            <w:sz w:val="24"/>
          </w:rPr>
          <w:fldChar w:fldCharType="begin"/>
        </w:r>
        <w:r w:rsidRPr="003F1AA1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3F1AA1">
          <w:rPr>
            <w:rFonts w:ascii="Times New Roman" w:hAnsi="Times New Roman" w:cs="Times New Roman"/>
            <w:sz w:val="24"/>
          </w:rPr>
          <w:fldChar w:fldCharType="separate"/>
        </w:r>
        <w:r w:rsidR="002A23C2">
          <w:rPr>
            <w:rFonts w:ascii="Times New Roman" w:hAnsi="Times New Roman" w:cs="Times New Roman"/>
            <w:noProof/>
            <w:sz w:val="24"/>
          </w:rPr>
          <w:t>1</w:t>
        </w:r>
        <w:r w:rsidRPr="003F1AA1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3F1AA1" w:rsidRPr="003F1AA1" w:rsidRDefault="003F1AA1">
    <w:pPr>
      <w:pStyle w:val="Header"/>
      <w:rPr>
        <w:rFonts w:ascii="Times New Roman" w:hAnsi="Times New Roman" w:cs="Times New Roman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E85C1D"/>
    <w:multiLevelType w:val="multilevel"/>
    <w:tmpl w:val="2B5E1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D60"/>
    <w:rsid w:val="00014469"/>
    <w:rsid w:val="00076A9E"/>
    <w:rsid w:val="000A28EE"/>
    <w:rsid w:val="000A5696"/>
    <w:rsid w:val="000C5880"/>
    <w:rsid w:val="000E42AD"/>
    <w:rsid w:val="000F60B2"/>
    <w:rsid w:val="00142CBE"/>
    <w:rsid w:val="00180DBA"/>
    <w:rsid w:val="00183EC5"/>
    <w:rsid w:val="00187797"/>
    <w:rsid w:val="001D6A4B"/>
    <w:rsid w:val="001D76F6"/>
    <w:rsid w:val="001E5C78"/>
    <w:rsid w:val="001E7303"/>
    <w:rsid w:val="002040C9"/>
    <w:rsid w:val="00210290"/>
    <w:rsid w:val="002326A2"/>
    <w:rsid w:val="00267610"/>
    <w:rsid w:val="00296504"/>
    <w:rsid w:val="002971F7"/>
    <w:rsid w:val="002A23C2"/>
    <w:rsid w:val="002B7D21"/>
    <w:rsid w:val="002F06B9"/>
    <w:rsid w:val="00344D4B"/>
    <w:rsid w:val="00386C1E"/>
    <w:rsid w:val="003A1A73"/>
    <w:rsid w:val="003E0AE3"/>
    <w:rsid w:val="003F1AA1"/>
    <w:rsid w:val="00423A06"/>
    <w:rsid w:val="00423EB0"/>
    <w:rsid w:val="00437480"/>
    <w:rsid w:val="00446163"/>
    <w:rsid w:val="004723A3"/>
    <w:rsid w:val="004907D6"/>
    <w:rsid w:val="0049101E"/>
    <w:rsid w:val="004A1FA6"/>
    <w:rsid w:val="004D34A9"/>
    <w:rsid w:val="004D5726"/>
    <w:rsid w:val="004F2A91"/>
    <w:rsid w:val="004F40A8"/>
    <w:rsid w:val="00513BFF"/>
    <w:rsid w:val="0053411E"/>
    <w:rsid w:val="0054588C"/>
    <w:rsid w:val="005465FF"/>
    <w:rsid w:val="00550183"/>
    <w:rsid w:val="005505A4"/>
    <w:rsid w:val="00555352"/>
    <w:rsid w:val="0059293C"/>
    <w:rsid w:val="005D30B1"/>
    <w:rsid w:val="0060144A"/>
    <w:rsid w:val="00623745"/>
    <w:rsid w:val="006372C3"/>
    <w:rsid w:val="006534F3"/>
    <w:rsid w:val="00655B6F"/>
    <w:rsid w:val="006B4145"/>
    <w:rsid w:val="006C6AC7"/>
    <w:rsid w:val="006D03A4"/>
    <w:rsid w:val="006D0956"/>
    <w:rsid w:val="006E147B"/>
    <w:rsid w:val="00763921"/>
    <w:rsid w:val="0078082E"/>
    <w:rsid w:val="007A51A5"/>
    <w:rsid w:val="007C1EDC"/>
    <w:rsid w:val="007D64CC"/>
    <w:rsid w:val="00800281"/>
    <w:rsid w:val="00830FCB"/>
    <w:rsid w:val="00852FDF"/>
    <w:rsid w:val="00891D2C"/>
    <w:rsid w:val="008C0EBE"/>
    <w:rsid w:val="009466C4"/>
    <w:rsid w:val="009560FA"/>
    <w:rsid w:val="00963D49"/>
    <w:rsid w:val="009B74C9"/>
    <w:rsid w:val="009E447D"/>
    <w:rsid w:val="00A15304"/>
    <w:rsid w:val="00A16BB6"/>
    <w:rsid w:val="00A22002"/>
    <w:rsid w:val="00A72324"/>
    <w:rsid w:val="00B000B3"/>
    <w:rsid w:val="00B05005"/>
    <w:rsid w:val="00B206F2"/>
    <w:rsid w:val="00B225B3"/>
    <w:rsid w:val="00B374DC"/>
    <w:rsid w:val="00B40C2F"/>
    <w:rsid w:val="00B56011"/>
    <w:rsid w:val="00B625E7"/>
    <w:rsid w:val="00B81330"/>
    <w:rsid w:val="00BA5494"/>
    <w:rsid w:val="00BC4D11"/>
    <w:rsid w:val="00BF2D42"/>
    <w:rsid w:val="00C07FB1"/>
    <w:rsid w:val="00C410EE"/>
    <w:rsid w:val="00C500D8"/>
    <w:rsid w:val="00C71CE8"/>
    <w:rsid w:val="00C823BF"/>
    <w:rsid w:val="00CF52D7"/>
    <w:rsid w:val="00D0449D"/>
    <w:rsid w:val="00D05ED6"/>
    <w:rsid w:val="00D1070B"/>
    <w:rsid w:val="00D16CC6"/>
    <w:rsid w:val="00D21F0C"/>
    <w:rsid w:val="00D47866"/>
    <w:rsid w:val="00D70A2E"/>
    <w:rsid w:val="00D8453A"/>
    <w:rsid w:val="00D9155A"/>
    <w:rsid w:val="00DC23CC"/>
    <w:rsid w:val="00DE7560"/>
    <w:rsid w:val="00E141F5"/>
    <w:rsid w:val="00E27500"/>
    <w:rsid w:val="00E67FC6"/>
    <w:rsid w:val="00E80984"/>
    <w:rsid w:val="00EC70C9"/>
    <w:rsid w:val="00EF5F26"/>
    <w:rsid w:val="00F12D60"/>
    <w:rsid w:val="00F20CC6"/>
    <w:rsid w:val="00F4302E"/>
    <w:rsid w:val="00F711E7"/>
    <w:rsid w:val="00F94770"/>
    <w:rsid w:val="00FD62B7"/>
    <w:rsid w:val="00FF1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D30B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paragraph" w:styleId="Heading2">
    <w:name w:val="heading 2"/>
    <w:basedOn w:val="Normal"/>
    <w:link w:val="Heading2Char"/>
    <w:uiPriority w:val="9"/>
    <w:qFormat/>
    <w:rsid w:val="009560F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144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560FA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9560F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560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7C1EDC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144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Hyperlink">
    <w:name w:val="Hyperlink"/>
    <w:basedOn w:val="DefaultParagraphFont"/>
    <w:uiPriority w:val="99"/>
    <w:semiHidden/>
    <w:unhideWhenUsed/>
    <w:rsid w:val="0060144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02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029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F1A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1AA1"/>
  </w:style>
  <w:style w:type="paragraph" w:styleId="Footer">
    <w:name w:val="footer"/>
    <w:basedOn w:val="Normal"/>
    <w:link w:val="FooterChar"/>
    <w:uiPriority w:val="99"/>
    <w:unhideWhenUsed/>
    <w:rsid w:val="003F1A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1AA1"/>
  </w:style>
  <w:style w:type="character" w:customStyle="1" w:styleId="Heading1Char">
    <w:name w:val="Heading 1 Char"/>
    <w:basedOn w:val="DefaultParagraphFont"/>
    <w:link w:val="Heading1"/>
    <w:uiPriority w:val="9"/>
    <w:rsid w:val="005D30B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paragraph" w:styleId="Bibliography">
    <w:name w:val="Bibliography"/>
    <w:basedOn w:val="Normal"/>
    <w:next w:val="Normal"/>
    <w:uiPriority w:val="37"/>
    <w:unhideWhenUsed/>
    <w:rsid w:val="005D30B1"/>
  </w:style>
  <w:style w:type="paragraph" w:styleId="NoSpacing">
    <w:name w:val="No Spacing"/>
    <w:uiPriority w:val="1"/>
    <w:qFormat/>
    <w:rsid w:val="00E141F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D30B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paragraph" w:styleId="Heading2">
    <w:name w:val="heading 2"/>
    <w:basedOn w:val="Normal"/>
    <w:link w:val="Heading2Char"/>
    <w:uiPriority w:val="9"/>
    <w:qFormat/>
    <w:rsid w:val="009560F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144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560FA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9560F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560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7C1EDC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144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Hyperlink">
    <w:name w:val="Hyperlink"/>
    <w:basedOn w:val="DefaultParagraphFont"/>
    <w:uiPriority w:val="99"/>
    <w:semiHidden/>
    <w:unhideWhenUsed/>
    <w:rsid w:val="0060144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02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029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F1A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1AA1"/>
  </w:style>
  <w:style w:type="paragraph" w:styleId="Footer">
    <w:name w:val="footer"/>
    <w:basedOn w:val="Normal"/>
    <w:link w:val="FooterChar"/>
    <w:uiPriority w:val="99"/>
    <w:unhideWhenUsed/>
    <w:rsid w:val="003F1A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1AA1"/>
  </w:style>
  <w:style w:type="character" w:customStyle="1" w:styleId="Heading1Char">
    <w:name w:val="Heading 1 Char"/>
    <w:basedOn w:val="DefaultParagraphFont"/>
    <w:link w:val="Heading1"/>
    <w:uiPriority w:val="9"/>
    <w:rsid w:val="005D30B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paragraph" w:styleId="Bibliography">
    <w:name w:val="Bibliography"/>
    <w:basedOn w:val="Normal"/>
    <w:next w:val="Normal"/>
    <w:uiPriority w:val="37"/>
    <w:unhideWhenUsed/>
    <w:rsid w:val="005D30B1"/>
  </w:style>
  <w:style w:type="paragraph" w:styleId="NoSpacing">
    <w:name w:val="No Spacing"/>
    <w:uiPriority w:val="1"/>
    <w:qFormat/>
    <w:rsid w:val="00E141F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www.britannica.com/topic/Bipartisan-Campaign-Reform-Ac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Fre19</b:Tag>
    <b:SourceType>InternetSite</b:SourceType>
    <b:Guid>{12330DFE-B783-45B7-9D1F-F0C00827EC53}</b:Guid>
    <b:Author>
      <b:Author>
        <b:NameList>
          <b:Person>
            <b:Last>Schouten</b:Last>
            <b:First>Fredreka</b:First>
          </b:Person>
        </b:NameList>
      </b:Author>
    </b:Author>
    <b:Title>Group sues Federal Election Commission over allegation NRA broke campaign-finance law</b:Title>
    <b:InternetSiteTitle>CNN Politics</b:InternetSiteTitle>
    <b:Year>2019</b:Year>
    <b:Month>April</b:Month>
    <b:Day>24</b:Day>
    <b:YearAccessed>2019</b:YearAccessed>
    <b:MonthAccessed>May</b:MonthAccessed>
    <b:DayAccessed>22</b:DayAccessed>
    <b:URL>https://edition.cnn.com/2019/04/24/politics/gun-safety-group-lawsuit-fec-nra-campaign-finance/index.html</b:URL>
    <b:RefOrder>3</b:RefOrder>
  </b:Source>
  <b:Source>
    <b:Tag>Bre18</b:Tag>
    <b:SourceType>InternetSite</b:SourceType>
    <b:Guid>{D26CEDC7-0248-4AB5-B394-C823E6235298}</b:Guid>
    <b:Author>
      <b:Author>
        <b:NameList>
          <b:Person>
            <b:Last>Gould</b:Last>
            <b:First>Brennan</b:First>
            <b:Middle>Weiss &amp; Skye</b:Middle>
          </b:Person>
        </b:NameList>
      </b:Author>
    </b:Author>
    <b:Title>These are the members of Congress with the most NRA donations</b:Title>
    <b:InternetSiteTitle>Business Insider</b:InternetSiteTitle>
    <b:Year>2018</b:Year>
    <b:Month>Feb</b:Month>
    <b:Day>28</b:Day>
    <b:YearAccessed>2019</b:YearAccessed>
    <b:MonthAccessed>May</b:MonthAccessed>
    <b:DayAccessed>22</b:DayAccessed>
    <b:URL>https://www.businessinsider.com/nra-political-contributions-congressional-candidates-house-senate-2018-2?IR=T</b:URL>
    <b:RefOrder>2</b:RefOrder>
  </b:Source>
  <b:Source>
    <b:Tag>NCS19</b:Tag>
    <b:SourceType>InternetSite</b:SourceType>
    <b:Guid>{C680E633-DB08-42C6-93EF-1DC961D779B8}</b:Guid>
    <b:Author>
      <b:Author>
        <b:NameList>
          <b:Person>
            <b:Last>NCSL</b:Last>
          </b:Person>
        </b:NameList>
      </b:Author>
    </b:Author>
    <b:Title>Campaign Finance and the Supreme Court</b:Title>
    <b:InternetSiteTitle>National Conference of State legislatures</b:InternetSiteTitle>
    <b:Year>2019</b:Year>
    <b:YearAccessed>2019</b:YearAccessed>
    <b:MonthAccessed>may</b:MonthAccessed>
    <b:DayAccessed>22</b:DayAccessed>
    <b:URL>http://www.ncsl.org/research/elections-and-campaigns/campaign-finance-and-the-supreme-court.aspx</b:URL>
    <b:RefOrder>1</b:RefOrder>
  </b:Source>
</b:Sources>
</file>

<file path=customXml/itemProps1.xml><?xml version="1.0" encoding="utf-8"?>
<ds:datastoreItem xmlns:ds="http://schemas.openxmlformats.org/officeDocument/2006/customXml" ds:itemID="{42C99AAC-8111-4EF7-A08A-88A9239B78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1047</Words>
  <Characters>5972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2</cp:revision>
  <dcterms:created xsi:type="dcterms:W3CDTF">2019-05-22T19:02:00Z</dcterms:created>
  <dcterms:modified xsi:type="dcterms:W3CDTF">2019-05-22T19:02:00Z</dcterms:modified>
</cp:coreProperties>
</file>